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C0" w:rsidRDefault="008E08C0" w:rsidP="00167A80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>
        <w:rPr>
          <w:sz w:val="28"/>
          <w:szCs w:val="28"/>
          <w:rtl/>
        </w:rPr>
        <w:t>החוג לספרות כללית והשוואתית</w:t>
      </w:r>
    </w:p>
    <w:p w:rsidR="00AC6792" w:rsidRDefault="00D04F9A" w:rsidP="00167A80">
      <w:pPr>
        <w:spacing w:line="360" w:lineRule="auto"/>
        <w:jc w:val="both"/>
        <w:rPr>
          <w:sz w:val="28"/>
          <w:szCs w:val="28"/>
          <w:rtl/>
        </w:rPr>
      </w:pPr>
      <w:r w:rsidRPr="008E08C0">
        <w:rPr>
          <w:sz w:val="28"/>
          <w:szCs w:val="28"/>
          <w:rtl/>
        </w:rPr>
        <w:t>הנחיות לבחינה הגמר של התואר השני</w:t>
      </w:r>
    </w:p>
    <w:p w:rsidR="00D04F9A" w:rsidRDefault="00D04F9A" w:rsidP="00167A80">
      <w:pPr>
        <w:spacing w:line="360" w:lineRule="auto"/>
        <w:jc w:val="both"/>
        <w:rPr>
          <w:rtl/>
        </w:rPr>
      </w:pPr>
    </w:p>
    <w:p w:rsidR="00D135A8" w:rsidRDefault="00167A80" w:rsidP="005860E3">
      <w:pPr>
        <w:spacing w:line="360" w:lineRule="auto"/>
        <w:jc w:val="both"/>
        <w:rPr>
          <w:rtl/>
        </w:rPr>
      </w:pPr>
      <w:r>
        <w:rPr>
          <w:b/>
          <w:bCs/>
          <w:rtl/>
        </w:rPr>
        <w:t>ב</w:t>
      </w:r>
      <w:r w:rsidR="00FC5DB7">
        <w:rPr>
          <w:b/>
          <w:bCs/>
          <w:rtl/>
        </w:rPr>
        <w:t xml:space="preserve">בחינת הגמר </w:t>
      </w:r>
      <w:r>
        <w:rPr>
          <w:rtl/>
        </w:rPr>
        <w:t xml:space="preserve">במסלול המחקרי הנושא </w:t>
      </w:r>
      <w:r w:rsidR="00FC5DB7">
        <w:rPr>
          <w:rtl/>
        </w:rPr>
        <w:t xml:space="preserve">יסוכם עם </w:t>
      </w:r>
      <w:r w:rsidR="00D135A8">
        <w:rPr>
          <w:rtl/>
        </w:rPr>
        <w:t>מורה</w:t>
      </w:r>
      <w:r w:rsidR="00FC5DB7">
        <w:rPr>
          <w:rtl/>
        </w:rPr>
        <w:t xml:space="preserve"> </w:t>
      </w:r>
      <w:r w:rsidR="00194863">
        <w:rPr>
          <w:rtl/>
        </w:rPr>
        <w:t xml:space="preserve">ממורי החוג </w:t>
      </w:r>
      <w:r w:rsidR="00D135A8">
        <w:rPr>
          <w:rtl/>
        </w:rPr>
        <w:t xml:space="preserve">שאינו המדריך של העבודה הסמינריונית המורחבת בעלת האופי המחקרי ("התזה למ"א") </w:t>
      </w:r>
      <w:r w:rsidR="00FC5DB7">
        <w:rPr>
          <w:rtl/>
        </w:rPr>
        <w:t xml:space="preserve">ויקבל את אישור ראש החוג. נושא הבחינה </w:t>
      </w:r>
      <w:r w:rsidR="00D04F9A">
        <w:rPr>
          <w:rtl/>
        </w:rPr>
        <w:t xml:space="preserve">יהיה שונה מנושא </w:t>
      </w:r>
      <w:r w:rsidR="001425D2">
        <w:rPr>
          <w:rtl/>
        </w:rPr>
        <w:t xml:space="preserve">התזה למ"א </w:t>
      </w:r>
      <w:r w:rsidR="00D04F9A">
        <w:rPr>
          <w:rtl/>
        </w:rPr>
        <w:t>ולא יחפוף את העבודה שנעשתה באחד מ</w:t>
      </w:r>
      <w:r w:rsidR="008E08C0">
        <w:rPr>
          <w:rtl/>
        </w:rPr>
        <w:t>ן הקורס</w:t>
      </w:r>
      <w:r w:rsidR="00AC6792">
        <w:rPr>
          <w:rtl/>
        </w:rPr>
        <w:t>ים</w:t>
      </w:r>
      <w:r w:rsidR="008E08C0">
        <w:rPr>
          <w:rtl/>
        </w:rPr>
        <w:t xml:space="preserve"> שלמד</w:t>
      </w:r>
      <w:r w:rsidR="001425D2">
        <w:rPr>
          <w:rtl/>
        </w:rPr>
        <w:t>/</w:t>
      </w:r>
      <w:r w:rsidR="008E08C0">
        <w:rPr>
          <w:rtl/>
        </w:rPr>
        <w:t>ה הסטודנט</w:t>
      </w:r>
      <w:r w:rsidR="001425D2">
        <w:rPr>
          <w:rtl/>
        </w:rPr>
        <w:t>/</w:t>
      </w:r>
      <w:r w:rsidR="008E08C0">
        <w:rPr>
          <w:rtl/>
        </w:rPr>
        <w:t>ית</w:t>
      </w:r>
      <w:r w:rsidR="00D04F9A">
        <w:rPr>
          <w:rtl/>
        </w:rPr>
        <w:t xml:space="preserve"> (</w:t>
      </w:r>
      <w:r w:rsidR="008E08C0">
        <w:rPr>
          <w:rtl/>
        </w:rPr>
        <w:t>א</w:t>
      </w:r>
      <w:r w:rsidR="00D04F9A">
        <w:rPr>
          <w:rtl/>
        </w:rPr>
        <w:t xml:space="preserve">ם כי הנושא יכול כמובן להיות קשור </w:t>
      </w:r>
      <w:r w:rsidR="008E08C0">
        <w:rPr>
          <w:rtl/>
        </w:rPr>
        <w:t>ל</w:t>
      </w:r>
      <w:r w:rsidR="00FC5DB7">
        <w:rPr>
          <w:rtl/>
        </w:rPr>
        <w:t xml:space="preserve">נושא של </w:t>
      </w:r>
      <w:r w:rsidR="00D04F9A">
        <w:rPr>
          <w:rtl/>
        </w:rPr>
        <w:t xml:space="preserve">קורס </w:t>
      </w:r>
      <w:r w:rsidR="008E08C0">
        <w:rPr>
          <w:rtl/>
        </w:rPr>
        <w:t>או לצמוח מ</w:t>
      </w:r>
      <w:r w:rsidR="00FC5DB7">
        <w:rPr>
          <w:rtl/>
        </w:rPr>
        <w:t>תוכו</w:t>
      </w:r>
      <w:r w:rsidR="00D04F9A">
        <w:rPr>
          <w:rtl/>
        </w:rPr>
        <w:t>).</w:t>
      </w:r>
      <w:r>
        <w:rPr>
          <w:rtl/>
        </w:rPr>
        <w:t xml:space="preserve"> בבחינת </w:t>
      </w:r>
      <w:r w:rsidR="009369CF">
        <w:rPr>
          <w:rtl/>
        </w:rPr>
        <w:t>הגמר במסלול הלא מחקרי הנוש</w:t>
      </w:r>
      <w:r>
        <w:rPr>
          <w:rtl/>
        </w:rPr>
        <w:t>א יסוכם עם ראש החוג.</w:t>
      </w:r>
      <w:r w:rsidR="00073FFF">
        <w:rPr>
          <w:rtl/>
        </w:rPr>
        <w:t xml:space="preserve"> </w:t>
      </w:r>
    </w:p>
    <w:p w:rsidR="008E08C0" w:rsidRDefault="008E08C0" w:rsidP="00167A80">
      <w:pPr>
        <w:spacing w:line="360" w:lineRule="auto"/>
        <w:jc w:val="both"/>
        <w:rPr>
          <w:rtl/>
        </w:rPr>
      </w:pPr>
    </w:p>
    <w:p w:rsidR="008E08C0" w:rsidRDefault="008E08C0" w:rsidP="001425D2">
      <w:pPr>
        <w:spacing w:line="360" w:lineRule="auto"/>
        <w:jc w:val="both"/>
        <w:rPr>
          <w:rtl/>
        </w:rPr>
      </w:pPr>
      <w:r>
        <w:rPr>
          <w:rtl/>
        </w:rPr>
        <w:t xml:space="preserve">לבחינת הגמר יהיו </w:t>
      </w:r>
      <w:r w:rsidRPr="008E08C0">
        <w:rPr>
          <w:b/>
          <w:bCs/>
          <w:rtl/>
        </w:rPr>
        <w:t>שני קוראים</w:t>
      </w:r>
      <w:r w:rsidR="001425D2">
        <w:rPr>
          <w:b/>
          <w:bCs/>
          <w:rtl/>
        </w:rPr>
        <w:t>,</w:t>
      </w:r>
      <w:r w:rsidR="00167A80">
        <w:rPr>
          <w:rtl/>
        </w:rPr>
        <w:t xml:space="preserve"> </w:t>
      </w:r>
      <w:r w:rsidR="001425D2">
        <w:rPr>
          <w:rtl/>
        </w:rPr>
        <w:t>אחד מהם זה שעימו סוכם על נושאי הבחינה.</w:t>
      </w:r>
      <w:r w:rsidR="00220BCA">
        <w:rPr>
          <w:rtl/>
        </w:rPr>
        <w:t xml:space="preserve"> במקרה של תיזה למ"א, המדריך של התזה אינו יכול להיות אחד הקוראים של הבחינה.</w:t>
      </w:r>
      <w:r w:rsidR="009369CF">
        <w:rPr>
          <w:rtl/>
        </w:rPr>
        <w:t xml:space="preserve"> </w:t>
      </w:r>
    </w:p>
    <w:p w:rsidR="00D04F9A" w:rsidRDefault="00D04F9A" w:rsidP="00167A80">
      <w:pPr>
        <w:spacing w:line="360" w:lineRule="auto"/>
        <w:jc w:val="both"/>
        <w:rPr>
          <w:rtl/>
        </w:rPr>
      </w:pPr>
    </w:p>
    <w:p w:rsidR="00FC5DB7" w:rsidRDefault="001425D2" w:rsidP="001425D2">
      <w:pPr>
        <w:spacing w:line="360" w:lineRule="auto"/>
        <w:jc w:val="both"/>
        <w:rPr>
          <w:rtl/>
        </w:rPr>
      </w:pPr>
      <w:r>
        <w:rPr>
          <w:b/>
          <w:bCs/>
          <w:rtl/>
        </w:rPr>
        <w:t>הנושא ו</w:t>
      </w:r>
      <w:r w:rsidR="00D04F9A" w:rsidRPr="00D04F9A">
        <w:rPr>
          <w:b/>
          <w:bCs/>
          <w:rtl/>
        </w:rPr>
        <w:t xml:space="preserve">רשימת </w:t>
      </w:r>
      <w:r w:rsidR="008E08C0">
        <w:rPr>
          <w:b/>
          <w:bCs/>
          <w:rtl/>
        </w:rPr>
        <w:t>ה</w:t>
      </w:r>
      <w:r w:rsidR="00D04F9A" w:rsidRPr="00D04F9A">
        <w:rPr>
          <w:b/>
          <w:bCs/>
          <w:rtl/>
        </w:rPr>
        <w:t>קריאה</w:t>
      </w:r>
      <w:r w:rsidR="00D04F9A">
        <w:rPr>
          <w:rtl/>
        </w:rPr>
        <w:t xml:space="preserve"> </w:t>
      </w:r>
      <w:r w:rsidR="008E08C0" w:rsidRPr="008D04EE">
        <w:rPr>
          <w:b/>
          <w:bCs/>
          <w:rtl/>
        </w:rPr>
        <w:t xml:space="preserve">לבחינה </w:t>
      </w:r>
      <w:r>
        <w:rPr>
          <w:b/>
          <w:bCs/>
          <w:rtl/>
        </w:rPr>
        <w:t>יסוכמו</w:t>
      </w:r>
      <w:r w:rsidRPr="008D04EE">
        <w:rPr>
          <w:b/>
          <w:bCs/>
          <w:rtl/>
        </w:rPr>
        <w:t xml:space="preserve"> </w:t>
      </w:r>
      <w:r w:rsidR="008E08C0" w:rsidRPr="008D04EE">
        <w:rPr>
          <w:b/>
          <w:bCs/>
          <w:rtl/>
        </w:rPr>
        <w:t>עם שני הקוראים</w:t>
      </w:r>
      <w:r w:rsidR="008E08C0">
        <w:rPr>
          <w:rtl/>
        </w:rPr>
        <w:t>.</w:t>
      </w:r>
    </w:p>
    <w:p w:rsidR="00FC5DB7" w:rsidRDefault="00FC5DB7" w:rsidP="00167A80">
      <w:pPr>
        <w:spacing w:line="360" w:lineRule="auto"/>
        <w:jc w:val="both"/>
        <w:rPr>
          <w:rtl/>
        </w:rPr>
      </w:pPr>
    </w:p>
    <w:p w:rsidR="00D04F9A" w:rsidRDefault="008E08C0" w:rsidP="00167A80">
      <w:pPr>
        <w:spacing w:line="360" w:lineRule="auto"/>
        <w:jc w:val="both"/>
        <w:rPr>
          <w:rtl/>
        </w:rPr>
      </w:pPr>
      <w:r>
        <w:rPr>
          <w:rtl/>
        </w:rPr>
        <w:t>רשימ</w:t>
      </w:r>
      <w:r w:rsidR="00FC5DB7">
        <w:rPr>
          <w:rtl/>
        </w:rPr>
        <w:t>ת הקריאה</w:t>
      </w:r>
      <w:r>
        <w:rPr>
          <w:rtl/>
        </w:rPr>
        <w:t xml:space="preserve"> לבחינה </w:t>
      </w:r>
      <w:r w:rsidR="00D04F9A">
        <w:rPr>
          <w:rtl/>
        </w:rPr>
        <w:t>תורכב כדלהלן:</w:t>
      </w:r>
    </w:p>
    <w:p w:rsidR="00D04F9A" w:rsidRDefault="00D04F9A" w:rsidP="00167A80">
      <w:pPr>
        <w:spacing w:line="360" w:lineRule="auto"/>
        <w:jc w:val="both"/>
        <w:rPr>
          <w:rtl/>
        </w:rPr>
      </w:pPr>
    </w:p>
    <w:p w:rsidR="00D04F9A" w:rsidRDefault="00D04F9A" w:rsidP="0086185B">
      <w:pPr>
        <w:spacing w:line="360" w:lineRule="auto"/>
        <w:jc w:val="both"/>
        <w:rPr>
          <w:rtl/>
        </w:rPr>
      </w:pPr>
      <w:r w:rsidRPr="008D04EE">
        <w:rPr>
          <w:b/>
          <w:bCs/>
          <w:rtl/>
        </w:rPr>
        <w:t>א. חמישה פריטים של טקסטים ספרותיים</w:t>
      </w:r>
      <w:r>
        <w:rPr>
          <w:rtl/>
        </w:rPr>
        <w:t xml:space="preserve">. </w:t>
      </w:r>
      <w:r w:rsidR="0086185B">
        <w:rPr>
          <w:rtl/>
        </w:rPr>
        <w:t xml:space="preserve">ההגדרה של </w:t>
      </w:r>
      <w:r>
        <w:rPr>
          <w:rtl/>
        </w:rPr>
        <w:t xml:space="preserve">פריט </w:t>
      </w:r>
      <w:r w:rsidR="0086185B">
        <w:rPr>
          <w:rtl/>
        </w:rPr>
        <w:t>היא:</w:t>
      </w:r>
      <w:r>
        <w:rPr>
          <w:rtl/>
        </w:rPr>
        <w:t xml:space="preserve"> רומן או קובץ סיפורים או קובץ שירה או שני מחזות</w:t>
      </w:r>
      <w:r w:rsidR="009369CF">
        <w:rPr>
          <w:rtl/>
        </w:rPr>
        <w:t>.</w:t>
      </w:r>
    </w:p>
    <w:p w:rsidR="00D04F9A" w:rsidRDefault="00D04F9A" w:rsidP="00167A80">
      <w:pPr>
        <w:spacing w:line="360" w:lineRule="auto"/>
        <w:jc w:val="both"/>
        <w:rPr>
          <w:rtl/>
        </w:rPr>
      </w:pPr>
    </w:p>
    <w:p w:rsidR="00D04F9A" w:rsidRDefault="00D04F9A" w:rsidP="0086185B">
      <w:pPr>
        <w:spacing w:line="360" w:lineRule="auto"/>
        <w:jc w:val="both"/>
        <w:rPr>
          <w:rtl/>
        </w:rPr>
      </w:pPr>
      <w:r w:rsidRPr="008D04EE">
        <w:rPr>
          <w:b/>
          <w:bCs/>
          <w:rtl/>
        </w:rPr>
        <w:t>ב. חמישה פריטים של טקסטים עיוניים</w:t>
      </w:r>
      <w:r>
        <w:rPr>
          <w:rtl/>
        </w:rPr>
        <w:t xml:space="preserve">. </w:t>
      </w:r>
      <w:r w:rsidR="0086185B">
        <w:rPr>
          <w:rtl/>
        </w:rPr>
        <w:t>ההגדרה של פריט היא:</w:t>
      </w:r>
      <w:r>
        <w:rPr>
          <w:rtl/>
        </w:rPr>
        <w:t xml:space="preserve"> ספר עיוני או </w:t>
      </w:r>
      <w:r w:rsidR="00AC6792">
        <w:rPr>
          <w:rtl/>
        </w:rPr>
        <w:t xml:space="preserve">שלושה  </w:t>
      </w:r>
      <w:r>
        <w:rPr>
          <w:rtl/>
        </w:rPr>
        <w:t>מאמרים</w:t>
      </w:r>
      <w:r w:rsidR="0086185B">
        <w:rPr>
          <w:rtl/>
        </w:rPr>
        <w:t>, ובתנאי שאורכם לא יהיה פחות משישים עמודים</w:t>
      </w:r>
      <w:r>
        <w:rPr>
          <w:rtl/>
        </w:rPr>
        <w:t>.</w:t>
      </w:r>
    </w:p>
    <w:p w:rsidR="008E08C0" w:rsidRDefault="008E08C0" w:rsidP="00167A80">
      <w:pPr>
        <w:spacing w:line="360" w:lineRule="auto"/>
        <w:jc w:val="both"/>
        <w:rPr>
          <w:rtl/>
        </w:rPr>
      </w:pPr>
    </w:p>
    <w:p w:rsidR="008E08C0" w:rsidRDefault="008E08C0" w:rsidP="00167A80">
      <w:pPr>
        <w:spacing w:line="360" w:lineRule="auto"/>
        <w:jc w:val="both"/>
        <w:rPr>
          <w:rtl/>
        </w:rPr>
      </w:pPr>
      <w:r>
        <w:rPr>
          <w:rtl/>
        </w:rPr>
        <w:t xml:space="preserve">לאחר סיכום הנושא ורשימת הקריאה ותיאום מועד הבחינה בין הנוגעים בדבר, </w:t>
      </w:r>
      <w:r w:rsidRPr="00C5255B">
        <w:rPr>
          <w:b/>
          <w:bCs/>
          <w:rtl/>
        </w:rPr>
        <w:t>ימסור כל אחד מן</w:t>
      </w:r>
      <w:r w:rsidR="00C5255B" w:rsidRPr="00C5255B">
        <w:rPr>
          <w:b/>
          <w:bCs/>
          <w:rtl/>
        </w:rPr>
        <w:t xml:space="preserve"> הקוראים שאלה אחת</w:t>
      </w:r>
      <w:r w:rsidR="00C5255B">
        <w:rPr>
          <w:rtl/>
        </w:rPr>
        <w:t xml:space="preserve"> למזכירות החוג.</w:t>
      </w:r>
    </w:p>
    <w:p w:rsidR="008E08C0" w:rsidRDefault="008E08C0" w:rsidP="00167A80">
      <w:pPr>
        <w:spacing w:line="360" w:lineRule="auto"/>
        <w:jc w:val="both"/>
        <w:rPr>
          <w:rtl/>
        </w:rPr>
      </w:pPr>
    </w:p>
    <w:p w:rsidR="008E08C0" w:rsidRPr="008E08C0" w:rsidRDefault="00C5255B" w:rsidP="00167A80">
      <w:pPr>
        <w:spacing w:line="360" w:lineRule="auto"/>
        <w:jc w:val="both"/>
        <w:rPr>
          <w:b/>
          <w:bCs/>
          <w:rtl/>
        </w:rPr>
      </w:pPr>
      <w:r>
        <w:rPr>
          <w:b/>
          <w:bCs/>
          <w:rtl/>
        </w:rPr>
        <w:t xml:space="preserve">נוהל </w:t>
      </w:r>
      <w:r w:rsidR="008E08C0" w:rsidRPr="008E08C0">
        <w:rPr>
          <w:b/>
          <w:bCs/>
          <w:rtl/>
        </w:rPr>
        <w:t>הבחינה</w:t>
      </w:r>
    </w:p>
    <w:p w:rsidR="00C5255B" w:rsidRDefault="00C5255B" w:rsidP="00167A80">
      <w:pPr>
        <w:spacing w:line="360" w:lineRule="auto"/>
        <w:jc w:val="both"/>
        <w:rPr>
          <w:rtl/>
        </w:rPr>
      </w:pPr>
      <w:r>
        <w:rPr>
          <w:rtl/>
        </w:rPr>
        <w:t>הסטודנט</w:t>
      </w:r>
      <w:r w:rsidR="009369CF">
        <w:rPr>
          <w:rtl/>
        </w:rPr>
        <w:t>/ית</w:t>
      </w:r>
      <w:r>
        <w:rPr>
          <w:rtl/>
        </w:rPr>
        <w:t xml:space="preserve"> </w:t>
      </w:r>
      <w:r w:rsidR="009369CF">
        <w:rPr>
          <w:rtl/>
        </w:rPr>
        <w:t>י/</w:t>
      </w:r>
      <w:r>
        <w:rPr>
          <w:rtl/>
        </w:rPr>
        <w:t xml:space="preserve">תצטרך לענות על </w:t>
      </w:r>
      <w:r w:rsidRPr="008D04EE">
        <w:rPr>
          <w:b/>
          <w:bCs/>
          <w:rtl/>
        </w:rPr>
        <w:t>אחת</w:t>
      </w:r>
      <w:r>
        <w:rPr>
          <w:rtl/>
        </w:rPr>
        <w:t xml:space="preserve"> משתי השאלות. </w:t>
      </w:r>
    </w:p>
    <w:p w:rsidR="008D04EE" w:rsidRDefault="008E08C0" w:rsidP="00167A80">
      <w:pPr>
        <w:spacing w:line="360" w:lineRule="auto"/>
        <w:jc w:val="both"/>
        <w:rPr>
          <w:rtl/>
        </w:rPr>
      </w:pPr>
      <w:r>
        <w:rPr>
          <w:rtl/>
        </w:rPr>
        <w:t>הבחינה תהיה בחינת בית.</w:t>
      </w:r>
    </w:p>
    <w:p w:rsidR="008E08C0" w:rsidRDefault="008D04EE" w:rsidP="00167A80">
      <w:pPr>
        <w:spacing w:line="360" w:lineRule="auto"/>
        <w:jc w:val="both"/>
        <w:rPr>
          <w:rtl/>
        </w:rPr>
      </w:pPr>
      <w:r>
        <w:rPr>
          <w:rtl/>
        </w:rPr>
        <w:t>לסטודנט</w:t>
      </w:r>
      <w:r w:rsidR="009369CF">
        <w:rPr>
          <w:rtl/>
        </w:rPr>
        <w:t>/</w:t>
      </w:r>
      <w:r>
        <w:rPr>
          <w:rtl/>
        </w:rPr>
        <w:t>ית יינתנו שלושה ימים לכתיבת</w:t>
      </w:r>
      <w:r w:rsidR="00C5255B">
        <w:rPr>
          <w:rtl/>
        </w:rPr>
        <w:t xml:space="preserve"> הבחינה</w:t>
      </w:r>
      <w:r>
        <w:rPr>
          <w:rtl/>
        </w:rPr>
        <w:t>.</w:t>
      </w:r>
    </w:p>
    <w:p w:rsidR="00D04F9A" w:rsidRDefault="008D04EE" w:rsidP="00167A80">
      <w:pPr>
        <w:spacing w:line="360" w:lineRule="auto"/>
        <w:jc w:val="both"/>
        <w:rPr>
          <w:rtl/>
        </w:rPr>
      </w:pPr>
      <w:r>
        <w:rPr>
          <w:rtl/>
        </w:rPr>
        <w:t>אורך התשובה: 6-8 עמודים.</w:t>
      </w:r>
    </w:p>
    <w:p w:rsidR="00295BA6" w:rsidRDefault="00295BA6" w:rsidP="00167A80">
      <w:pPr>
        <w:spacing w:line="360" w:lineRule="auto"/>
        <w:jc w:val="both"/>
        <w:rPr>
          <w:rtl/>
        </w:rPr>
      </w:pPr>
    </w:p>
    <w:p w:rsidR="00295BA6" w:rsidRDefault="00295BA6" w:rsidP="0019586D">
      <w:pPr>
        <w:spacing w:line="360" w:lineRule="auto"/>
        <w:jc w:val="both"/>
        <w:rPr>
          <w:rtl/>
        </w:rPr>
      </w:pPr>
      <w:r>
        <w:rPr>
          <w:rtl/>
        </w:rPr>
        <w:t xml:space="preserve">על הבודקים להחזיר את הבחינה  לא יאוחר משבועיים לאחר שנמסרה. מאחר ששיקלול הבחינה האינטגרטיבית הוא חמישה עשר אחוזים מהציון הסופי, </w:t>
      </w:r>
      <w:r w:rsidR="0019586D">
        <w:rPr>
          <w:rtl/>
        </w:rPr>
        <w:t xml:space="preserve">עם או בלי הגשת </w:t>
      </w:r>
      <w:r>
        <w:rPr>
          <w:rtl/>
        </w:rPr>
        <w:t>תיזה, יש להחזיר את הבחינה עם הערות המנמקות את הציון.</w:t>
      </w:r>
    </w:p>
    <w:p w:rsidR="00295BA6" w:rsidRDefault="00295BA6" w:rsidP="007019AD">
      <w:pPr>
        <w:spacing w:line="360" w:lineRule="auto"/>
        <w:jc w:val="both"/>
        <w:rPr>
          <w:rtl/>
        </w:rPr>
      </w:pPr>
      <w:r>
        <w:rPr>
          <w:rtl/>
        </w:rPr>
        <w:t xml:space="preserve">במקרה של פער של עשרים נקודות ומעלה בין הבודקים הבחינה תינתן </w:t>
      </w:r>
      <w:r w:rsidR="007019AD">
        <w:rPr>
          <w:rtl/>
        </w:rPr>
        <w:t xml:space="preserve">על ידי ראש החוג </w:t>
      </w:r>
      <w:r>
        <w:rPr>
          <w:rtl/>
        </w:rPr>
        <w:t>לקורא שלישי</w:t>
      </w:r>
      <w:r w:rsidR="007019AD">
        <w:rPr>
          <w:rtl/>
        </w:rPr>
        <w:t xml:space="preserve"> שעיסוקו קרוב לנושא הבחינה</w:t>
      </w:r>
      <w:r>
        <w:rPr>
          <w:rtl/>
        </w:rPr>
        <w:t>, וציונה יהי</w:t>
      </w:r>
      <w:r w:rsidR="0019586D">
        <w:rPr>
          <w:rtl/>
        </w:rPr>
        <w:t>ה</w:t>
      </w:r>
      <w:r>
        <w:rPr>
          <w:rtl/>
        </w:rPr>
        <w:t xml:space="preserve"> ממוצע של שלושת הציונים.</w:t>
      </w:r>
    </w:p>
    <w:p w:rsidR="00295BA6" w:rsidRDefault="0019586D" w:rsidP="0019586D">
      <w:pPr>
        <w:spacing w:line="360" w:lineRule="auto"/>
        <w:jc w:val="both"/>
        <w:rPr>
          <w:rtl/>
        </w:rPr>
      </w:pPr>
      <w:r>
        <w:rPr>
          <w:rtl/>
        </w:rPr>
        <w:t xml:space="preserve">בהתאם לתקנון הפקולטה, מי שמקבל בבחינה ציון </w:t>
      </w:r>
      <w:r w:rsidR="00295BA6">
        <w:rPr>
          <w:rtl/>
        </w:rPr>
        <w:t xml:space="preserve">משוקלל </w:t>
      </w:r>
      <w:r>
        <w:rPr>
          <w:rtl/>
        </w:rPr>
        <w:t>ש</w:t>
      </w:r>
      <w:r w:rsidR="00295BA6">
        <w:rPr>
          <w:rtl/>
        </w:rPr>
        <w:t xml:space="preserve">הוא פחות מ85 אינו יכול להמשיך לתואר שלישי. </w:t>
      </w:r>
    </w:p>
    <w:sectPr w:rsidR="00295BA6" w:rsidSect="00D72F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E7"/>
    <w:rsid w:val="00073FFF"/>
    <w:rsid w:val="001425D2"/>
    <w:rsid w:val="00167A80"/>
    <w:rsid w:val="00194863"/>
    <w:rsid w:val="0019586D"/>
    <w:rsid w:val="00220BCA"/>
    <w:rsid w:val="00295BA6"/>
    <w:rsid w:val="003E254E"/>
    <w:rsid w:val="003F3442"/>
    <w:rsid w:val="00497C1E"/>
    <w:rsid w:val="005860E3"/>
    <w:rsid w:val="007019AD"/>
    <w:rsid w:val="0086185B"/>
    <w:rsid w:val="00873149"/>
    <w:rsid w:val="008863F7"/>
    <w:rsid w:val="008D04EE"/>
    <w:rsid w:val="008E08C0"/>
    <w:rsid w:val="009369CF"/>
    <w:rsid w:val="00A86A02"/>
    <w:rsid w:val="00AC6792"/>
    <w:rsid w:val="00C5255B"/>
    <w:rsid w:val="00CE18E7"/>
    <w:rsid w:val="00D04F9A"/>
    <w:rsid w:val="00D135A8"/>
    <w:rsid w:val="00D62BD2"/>
    <w:rsid w:val="00D72F51"/>
    <w:rsid w:val="00F84A71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8D742C-A4CE-4185-BF24-270D61BA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החוג לספרות כללית והשוואתית</vt:lpstr>
    </vt:vector>
  </TitlesOfParts>
  <Company>The Hebrew University of Jerusalem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לספרות כללית והשוואתית</dc:title>
  <dc:subject/>
  <dc:creator>David Fishelov</dc:creator>
  <cp:keywords/>
  <dc:description/>
  <cp:lastModifiedBy>gur.zak@mail.huji.ac.il</cp:lastModifiedBy>
  <cp:revision>2</cp:revision>
  <dcterms:created xsi:type="dcterms:W3CDTF">2018-10-30T11:23:00Z</dcterms:created>
  <dcterms:modified xsi:type="dcterms:W3CDTF">2018-10-30T11:23:00Z</dcterms:modified>
</cp:coreProperties>
</file>